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57286D" w14:textId="6BCFCFAF" w:rsidR="00A34D9E" w:rsidRPr="00C444C7" w:rsidRDefault="00494354" w:rsidP="00C444C7">
      <w:pPr>
        <w:jc w:val="center"/>
        <w:rPr>
          <w:rFonts w:ascii="Arial" w:hAnsi="Arial" w:cs="Arial"/>
          <w:b/>
          <w:bCs/>
        </w:rPr>
      </w:pPr>
      <w:r w:rsidRPr="00C444C7">
        <w:rPr>
          <w:rFonts w:ascii="Arial" w:hAnsi="Arial" w:cs="Arial"/>
          <w:b/>
          <w:bCs/>
        </w:rPr>
        <w:t>PROGRAM FUNKCJONALNO – UŻYTKOWY</w:t>
      </w:r>
    </w:p>
    <w:p w14:paraId="1AC24361" w14:textId="4A2438A9" w:rsidR="00494354" w:rsidRPr="000A14F9" w:rsidRDefault="00494354" w:rsidP="00C444C7">
      <w:pPr>
        <w:jc w:val="both"/>
        <w:rPr>
          <w:rFonts w:ascii="Arial" w:hAnsi="Arial" w:cs="Arial"/>
          <w:b/>
          <w:bCs/>
        </w:rPr>
      </w:pPr>
      <w:r w:rsidRPr="000A14F9">
        <w:rPr>
          <w:rFonts w:ascii="Arial" w:hAnsi="Arial" w:cs="Arial"/>
          <w:b/>
          <w:bCs/>
        </w:rPr>
        <w:t>Zakup, dostawa, montaż i uruchomienie agregatu prądotwórczego zapewniający awaryjne zasilanie Siedziby Samodzielnego Publicznego Zakładu Opieki Zdrowotnej Rejonowego Pogotowia Ratunkowego w Sosnowcu oraz Stacji Pogotowia Ratunkowego w Sosnowcu</w:t>
      </w:r>
    </w:p>
    <w:p w14:paraId="60588A39" w14:textId="77777777" w:rsidR="00494354" w:rsidRPr="00C444C7" w:rsidRDefault="00494354">
      <w:pPr>
        <w:rPr>
          <w:rFonts w:ascii="Arial" w:hAnsi="Arial" w:cs="Arial"/>
        </w:rPr>
      </w:pPr>
    </w:p>
    <w:p w14:paraId="1B1698A7" w14:textId="14C680EB" w:rsidR="00494354" w:rsidRPr="00C444C7" w:rsidRDefault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Zamawiający:</w:t>
      </w:r>
      <w:r w:rsidRPr="00C444C7">
        <w:rPr>
          <w:rFonts w:ascii="Arial" w:hAnsi="Arial" w:cs="Arial"/>
        </w:rPr>
        <w:tab/>
      </w:r>
      <w:r w:rsidRPr="00C444C7">
        <w:rPr>
          <w:rFonts w:ascii="Arial" w:hAnsi="Arial" w:cs="Arial"/>
        </w:rPr>
        <w:tab/>
      </w:r>
      <w:r w:rsidRPr="00C444C7">
        <w:rPr>
          <w:rFonts w:ascii="Arial" w:hAnsi="Arial" w:cs="Arial"/>
          <w:b/>
          <w:bCs/>
        </w:rPr>
        <w:t>Samodzielny Publiczny Zakład Opieki Zdrowotnej</w:t>
      </w:r>
      <w:r w:rsidRPr="00C444C7">
        <w:rPr>
          <w:rFonts w:ascii="Arial" w:hAnsi="Arial" w:cs="Arial"/>
          <w:b/>
          <w:bCs/>
        </w:rPr>
        <w:br/>
      </w:r>
      <w:r w:rsidRPr="00C444C7">
        <w:rPr>
          <w:rFonts w:ascii="Arial" w:hAnsi="Arial" w:cs="Arial"/>
          <w:b/>
          <w:bCs/>
        </w:rPr>
        <w:tab/>
      </w:r>
      <w:r w:rsidRPr="00C444C7">
        <w:rPr>
          <w:rFonts w:ascii="Arial" w:hAnsi="Arial" w:cs="Arial"/>
          <w:b/>
          <w:bCs/>
        </w:rPr>
        <w:tab/>
      </w:r>
      <w:r w:rsidRPr="00C444C7">
        <w:rPr>
          <w:rFonts w:ascii="Arial" w:hAnsi="Arial" w:cs="Arial"/>
          <w:b/>
          <w:bCs/>
        </w:rPr>
        <w:tab/>
        <w:t>Rejonowe Pogotowie Ratunkowe w Sosnowcu</w:t>
      </w:r>
      <w:r w:rsidRP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ab/>
      </w:r>
      <w:r w:rsidRPr="00C444C7">
        <w:rPr>
          <w:rFonts w:ascii="Arial" w:hAnsi="Arial" w:cs="Arial"/>
        </w:rPr>
        <w:tab/>
      </w:r>
      <w:r w:rsidRPr="00C444C7">
        <w:rPr>
          <w:rFonts w:ascii="Arial" w:hAnsi="Arial" w:cs="Arial"/>
        </w:rPr>
        <w:tab/>
        <w:t>ul. Kombajnistów 76</w:t>
      </w:r>
      <w:r w:rsidRP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ab/>
      </w:r>
      <w:r w:rsidRPr="00C444C7">
        <w:rPr>
          <w:rFonts w:ascii="Arial" w:hAnsi="Arial" w:cs="Arial"/>
        </w:rPr>
        <w:tab/>
      </w:r>
      <w:r w:rsidRPr="00C444C7">
        <w:rPr>
          <w:rFonts w:ascii="Arial" w:hAnsi="Arial" w:cs="Arial"/>
        </w:rPr>
        <w:tab/>
        <w:t>41-200 Sosnowiec</w:t>
      </w:r>
    </w:p>
    <w:p w14:paraId="74BFF798" w14:textId="77777777" w:rsidR="00494354" w:rsidRPr="00C444C7" w:rsidRDefault="00494354">
      <w:pPr>
        <w:rPr>
          <w:rFonts w:ascii="Arial" w:hAnsi="Arial" w:cs="Arial"/>
        </w:rPr>
      </w:pPr>
    </w:p>
    <w:p w14:paraId="78B24A2F" w14:textId="3C91D165" w:rsidR="00494354" w:rsidRPr="00C444C7" w:rsidRDefault="00494354" w:rsidP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Adres inwestycji:</w:t>
      </w:r>
      <w:r w:rsidRPr="00C444C7">
        <w:rPr>
          <w:rFonts w:ascii="Arial" w:hAnsi="Arial" w:cs="Arial"/>
        </w:rPr>
        <w:tab/>
        <w:t>ul. Kombajnistów 76,41-200 Sosnowiec</w:t>
      </w:r>
      <w:r w:rsidRP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ab/>
      </w:r>
      <w:r w:rsidRPr="00C444C7">
        <w:rPr>
          <w:rFonts w:ascii="Arial" w:hAnsi="Arial" w:cs="Arial"/>
        </w:rPr>
        <w:tab/>
      </w:r>
      <w:r w:rsidRPr="00C444C7">
        <w:rPr>
          <w:rFonts w:ascii="Arial" w:hAnsi="Arial" w:cs="Arial"/>
        </w:rPr>
        <w:tab/>
        <w:t>działka nr 3610/46, obręb 10</w:t>
      </w:r>
    </w:p>
    <w:p w14:paraId="3EEB6A2F" w14:textId="77777777" w:rsidR="00494354" w:rsidRPr="00C444C7" w:rsidRDefault="00494354" w:rsidP="00494354">
      <w:pPr>
        <w:rPr>
          <w:rFonts w:ascii="Arial" w:hAnsi="Arial" w:cs="Arial"/>
        </w:rPr>
      </w:pPr>
    </w:p>
    <w:p w14:paraId="2F822EDF" w14:textId="7218CFAE" w:rsidR="00494354" w:rsidRPr="00C444C7" w:rsidRDefault="00494354" w:rsidP="00494354">
      <w:pPr>
        <w:rPr>
          <w:rFonts w:ascii="Arial" w:hAnsi="Arial" w:cs="Arial"/>
          <w:u w:val="single"/>
        </w:rPr>
      </w:pPr>
      <w:r w:rsidRPr="00C444C7">
        <w:rPr>
          <w:rFonts w:ascii="Arial" w:hAnsi="Arial" w:cs="Arial"/>
          <w:u w:val="single"/>
        </w:rPr>
        <w:t>Klasyfikacja robót wg wspólnego słownika zamówień (CPV)</w:t>
      </w:r>
    </w:p>
    <w:p w14:paraId="1B1DD177" w14:textId="39FA3BE4" w:rsidR="00494354" w:rsidRPr="00C444C7" w:rsidRDefault="00494354" w:rsidP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71323100-9 – usługi projektowania systemów zasilania energią elektryczną</w:t>
      </w:r>
    </w:p>
    <w:p w14:paraId="3BF18EC7" w14:textId="60B4B8B4" w:rsidR="00494354" w:rsidRPr="00C444C7" w:rsidRDefault="00494354" w:rsidP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45315300-1 – instalacje zasilania elektrycznego</w:t>
      </w:r>
    </w:p>
    <w:p w14:paraId="07225F80" w14:textId="65B3C280" w:rsidR="00494354" w:rsidRPr="00C444C7" w:rsidRDefault="00494354" w:rsidP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45317300-5 – elektryczne urządzenia rozdzielcze</w:t>
      </w:r>
    </w:p>
    <w:p w14:paraId="091B694F" w14:textId="62245917" w:rsidR="00494354" w:rsidRPr="00C444C7" w:rsidRDefault="00494354" w:rsidP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45311000-0 – roboty w zakresie okablowania oraz instalacji elektrycznych</w:t>
      </w:r>
    </w:p>
    <w:p w14:paraId="2894D52C" w14:textId="0D74B8F7" w:rsidR="00494354" w:rsidRPr="00C444C7" w:rsidRDefault="00494354" w:rsidP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31127000-2 – jednostki prądotwórcze</w:t>
      </w:r>
    </w:p>
    <w:p w14:paraId="5FFBEABF" w14:textId="71575528" w:rsidR="00494354" w:rsidRPr="00C444C7" w:rsidRDefault="00494354" w:rsidP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31127000-2 – prądnice awaryjne</w:t>
      </w:r>
    </w:p>
    <w:p w14:paraId="21A6689F" w14:textId="67E29BF4" w:rsidR="00494354" w:rsidRPr="00C444C7" w:rsidRDefault="00494354" w:rsidP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45111200-0 – roboty w zakresie przygotowania terenu pod budowę i roboty ziemne</w:t>
      </w:r>
    </w:p>
    <w:p w14:paraId="56D87672" w14:textId="7D2DB935" w:rsidR="00494354" w:rsidRPr="00C444C7" w:rsidRDefault="00494354" w:rsidP="00494354">
      <w:pPr>
        <w:rPr>
          <w:rFonts w:ascii="Arial" w:hAnsi="Arial" w:cs="Arial"/>
        </w:rPr>
      </w:pPr>
      <w:r w:rsidRPr="00C444C7">
        <w:rPr>
          <w:rFonts w:ascii="Arial" w:hAnsi="Arial" w:cs="Arial"/>
        </w:rPr>
        <w:t>45223200-8 – roboty konstrukcyjne</w:t>
      </w:r>
    </w:p>
    <w:p w14:paraId="1F236671" w14:textId="77777777" w:rsidR="00494354" w:rsidRPr="00C444C7" w:rsidRDefault="00494354" w:rsidP="00494354">
      <w:pPr>
        <w:rPr>
          <w:rFonts w:ascii="Arial" w:hAnsi="Arial" w:cs="Arial"/>
        </w:rPr>
      </w:pPr>
    </w:p>
    <w:p w14:paraId="0DDE309E" w14:textId="4F1F5DC9" w:rsidR="00494354" w:rsidRPr="00C444C7" w:rsidRDefault="00494354" w:rsidP="00494354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</w:rPr>
      </w:pPr>
      <w:r w:rsidRPr="00C444C7">
        <w:rPr>
          <w:rFonts w:ascii="Arial" w:hAnsi="Arial" w:cs="Arial"/>
          <w:b/>
          <w:bCs/>
        </w:rPr>
        <w:t>Opis przedmiotu zamówienia</w:t>
      </w:r>
    </w:p>
    <w:p w14:paraId="08891C91" w14:textId="56DE7FA5" w:rsidR="00494354" w:rsidRPr="00C444C7" w:rsidRDefault="00494354" w:rsidP="00C444C7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 xml:space="preserve">Przedmiotem zamówienia jest kompleksowa realizacja zadania inwestycyjnego obejmująca opracowanie pełnej dokumentacji projektowej (w tym uzyskanie wszelkich wymaganych pozwoleń i uzgodnień), dostawę, montaż oraz uruchomienie fabrycznie nowego agregatu prądotwórczego w wyciszonej obudowie atmosferycznej wraz z systemem Samoczynnego Załączania Rezerwy (SZR). System zapewni pełne zasilanie awaryjne dla Siedziby Samodzielnego Publicznego Zakładu Opieki Zdrowotnej Rejonowego Pogotowia Ratunkowego w Sosnowcu oraz powiązanej Stacji Pogotowia Ratunkowego </w:t>
      </w:r>
      <w:r w:rsid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>przy ul. Kombajnistów 76.</w:t>
      </w:r>
    </w:p>
    <w:p w14:paraId="1B049CBE" w14:textId="4850E336" w:rsidR="00494354" w:rsidRDefault="00494354" w:rsidP="00C444C7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 xml:space="preserve">Na budynku siedziby Pogotowia zamontowana jest instalacja fotowoltaiczna o mocy 39 </w:t>
      </w:r>
      <w:proofErr w:type="spellStart"/>
      <w:r w:rsidRPr="00C444C7">
        <w:rPr>
          <w:rFonts w:ascii="Arial" w:hAnsi="Arial" w:cs="Arial"/>
        </w:rPr>
        <w:t>kW.</w:t>
      </w:r>
      <w:proofErr w:type="spellEnd"/>
      <w:r w:rsidRPr="00C444C7">
        <w:rPr>
          <w:rFonts w:ascii="Arial" w:hAnsi="Arial" w:cs="Arial"/>
        </w:rPr>
        <w:t xml:space="preserve"> Oferowany system awaryjnego zasilania musi zostać zaprojektowany i połączony z siecią </w:t>
      </w:r>
      <w:r w:rsid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 xml:space="preserve">w taki sposób, aby zapewnić pełne, bezkolizyjne i bezpieczne współdziałanie generatora </w:t>
      </w:r>
      <w:r w:rsid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 xml:space="preserve">z istniejącą </w:t>
      </w:r>
      <w:proofErr w:type="spellStart"/>
      <w:r w:rsidRPr="00C444C7">
        <w:rPr>
          <w:rFonts w:ascii="Arial" w:hAnsi="Arial" w:cs="Arial"/>
        </w:rPr>
        <w:t>mikroinstalacją</w:t>
      </w:r>
      <w:proofErr w:type="spellEnd"/>
      <w:r w:rsidRPr="00C444C7">
        <w:rPr>
          <w:rFonts w:ascii="Arial" w:hAnsi="Arial" w:cs="Arial"/>
        </w:rPr>
        <w:t xml:space="preserve"> fotowoltaiczną.</w:t>
      </w:r>
    </w:p>
    <w:p w14:paraId="6A81F7B3" w14:textId="77777777" w:rsidR="00C444C7" w:rsidRDefault="00C444C7" w:rsidP="00C444C7">
      <w:pPr>
        <w:jc w:val="both"/>
        <w:rPr>
          <w:rFonts w:ascii="Arial" w:hAnsi="Arial" w:cs="Arial"/>
        </w:rPr>
      </w:pPr>
    </w:p>
    <w:p w14:paraId="3A2C0E4F" w14:textId="77777777" w:rsidR="00C444C7" w:rsidRPr="00C444C7" w:rsidRDefault="00C444C7" w:rsidP="00C444C7">
      <w:pPr>
        <w:jc w:val="both"/>
        <w:rPr>
          <w:rFonts w:ascii="Arial" w:hAnsi="Arial" w:cs="Arial"/>
        </w:rPr>
      </w:pPr>
    </w:p>
    <w:p w14:paraId="07D9B9AC" w14:textId="3888CA2B" w:rsidR="00494354" w:rsidRPr="00C444C7" w:rsidRDefault="00494354" w:rsidP="00494354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</w:rPr>
      </w:pPr>
      <w:r w:rsidRPr="00C444C7">
        <w:rPr>
          <w:rFonts w:ascii="Arial" w:hAnsi="Arial" w:cs="Arial"/>
          <w:b/>
          <w:bCs/>
        </w:rPr>
        <w:lastRenderedPageBreak/>
        <w:t xml:space="preserve">Opis stanu istniejącego i lokalizacji inwestycji </w:t>
      </w:r>
    </w:p>
    <w:p w14:paraId="65F92BF5" w14:textId="4348C0BE" w:rsidR="00494354" w:rsidRPr="00C444C7" w:rsidRDefault="0090325B" w:rsidP="00C444C7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 xml:space="preserve">Teren planowanej lokalizacji posadowienia agregatu to obszar zieleni w bliskiej odległości </w:t>
      </w:r>
      <w:r w:rsid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 xml:space="preserve">od wjazdu na teren zakładu oraz altany (oznaczony kolorem czerwonym na planie sytuacyjnym). Teren inwestycji jest płaski, w pozostałej części utwardzony kostką brukową. Teren wyposażony jest w kompletną infrastrukturę techniczną: sieć wodociągowa, kanalizację sanitarną i deszczową, parking, linie elektryczne, chodniki oraz urządzoną zieleń. </w:t>
      </w:r>
      <w:r w:rsid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>Dojazd i dojście do terenu inwestycji odbywa się bezpośrednio od ulicy Kombajnistów.</w:t>
      </w:r>
    </w:p>
    <w:p w14:paraId="168727FF" w14:textId="000B0898" w:rsidR="0090325B" w:rsidRPr="00C444C7" w:rsidRDefault="0090325B" w:rsidP="0090325B">
      <w:pPr>
        <w:jc w:val="center"/>
        <w:rPr>
          <w:rFonts w:ascii="Arial" w:hAnsi="Arial" w:cs="Arial"/>
        </w:rPr>
      </w:pPr>
      <w:r w:rsidRPr="00C444C7">
        <w:rPr>
          <w:rFonts w:ascii="Arial" w:hAnsi="Arial" w:cs="Arial"/>
          <w:noProof/>
        </w:rPr>
        <w:drawing>
          <wp:inline distT="0" distB="0" distL="0" distR="0" wp14:anchorId="42556A30" wp14:editId="6D6C788A">
            <wp:extent cx="5760720" cy="4100195"/>
            <wp:effectExtent l="0" t="0" r="0" b="0"/>
            <wp:docPr id="121423295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0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9FB8F" w14:textId="5A509268" w:rsidR="0090325B" w:rsidRPr="00C444C7" w:rsidRDefault="0090325B" w:rsidP="0090325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</w:rPr>
      </w:pPr>
      <w:r w:rsidRPr="00C444C7">
        <w:rPr>
          <w:rFonts w:ascii="Arial" w:hAnsi="Arial" w:cs="Arial"/>
          <w:b/>
          <w:bCs/>
        </w:rPr>
        <w:t>Wymagania dotyczące realizacji i sprzętu</w:t>
      </w:r>
    </w:p>
    <w:p w14:paraId="5F5EB793" w14:textId="7FD26B4A" w:rsidR="0090325B" w:rsidRPr="00C444C7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C444C7">
        <w:rPr>
          <w:rFonts w:ascii="Arial" w:hAnsi="Arial" w:cs="Arial"/>
          <w:u w:val="single"/>
        </w:rPr>
        <w:t>Stan techniczny</w:t>
      </w:r>
    </w:p>
    <w:p w14:paraId="10FC5555" w14:textId="4B49E3A1" w:rsidR="0090325B" w:rsidRPr="00C444C7" w:rsidRDefault="0090325B" w:rsidP="00C444C7">
      <w:pPr>
        <w:pStyle w:val="Akapitzlist"/>
        <w:ind w:left="1080"/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 xml:space="preserve">Dostarczone urządzenia muszą być fabrycznie nowe, nieużywane, wyprodukowane nie wcześniej niż 12 miesięcy przed dostawą, </w:t>
      </w:r>
      <w:r w:rsid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 xml:space="preserve">wolne od wad i obciążeń osób trzecich oraz pochodzące z oficjalnego kanału dystrybucyjnego producenta na terenie Unii Europejskiej. </w:t>
      </w:r>
      <w:r w:rsid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 xml:space="preserve">Niedozwolone są urządzenia prototypowe, z wyprzedaży lub wycofywane </w:t>
      </w:r>
      <w:r w:rsidR="00C444C7">
        <w:rPr>
          <w:rFonts w:ascii="Arial" w:hAnsi="Arial" w:cs="Arial"/>
        </w:rPr>
        <w:br/>
      </w:r>
      <w:r w:rsidRPr="00C444C7">
        <w:rPr>
          <w:rFonts w:ascii="Arial" w:hAnsi="Arial" w:cs="Arial"/>
        </w:rPr>
        <w:t>ze wsparcia (end-of-life / end-of-</w:t>
      </w:r>
      <w:proofErr w:type="spellStart"/>
      <w:r w:rsidRPr="00C444C7">
        <w:rPr>
          <w:rFonts w:ascii="Arial" w:hAnsi="Arial" w:cs="Arial"/>
        </w:rPr>
        <w:t>support</w:t>
      </w:r>
      <w:proofErr w:type="spellEnd"/>
      <w:r w:rsidRPr="00C444C7">
        <w:rPr>
          <w:rFonts w:ascii="Arial" w:hAnsi="Arial" w:cs="Arial"/>
        </w:rPr>
        <w:t>).</w:t>
      </w:r>
    </w:p>
    <w:p w14:paraId="10B7C8E1" w14:textId="0C48A432" w:rsidR="0090325B" w:rsidRPr="00C444C7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C444C7">
        <w:rPr>
          <w:rFonts w:ascii="Arial" w:hAnsi="Arial" w:cs="Arial"/>
          <w:u w:val="single"/>
        </w:rPr>
        <w:t>Odpowiedzialność Wykonawcy</w:t>
      </w:r>
    </w:p>
    <w:p w14:paraId="1436E6BC" w14:textId="30F449DC" w:rsidR="0090325B" w:rsidRPr="00C444C7" w:rsidRDefault="0090325B" w:rsidP="0090325B">
      <w:pPr>
        <w:pStyle w:val="Akapitzlist"/>
        <w:ind w:left="1080"/>
        <w:rPr>
          <w:rFonts w:ascii="Arial" w:hAnsi="Arial" w:cs="Arial"/>
        </w:rPr>
      </w:pPr>
      <w:r w:rsidRPr="00C444C7">
        <w:rPr>
          <w:rFonts w:ascii="Arial" w:hAnsi="Arial" w:cs="Arial"/>
        </w:rPr>
        <w:t>Wykonawca w pełni odpowiada za poprawność połączeń fizycznych i logicznych, konfigurację i uruchomienie systemu. Przed przystąpieniem do prac zobowiązany jest zweryfikować rozwiązania techniczne i opracować projekt wykonawczy, który musi zostać zaakceptowany przez Inspektora Nadzoru i Zamawiającego.</w:t>
      </w:r>
    </w:p>
    <w:p w14:paraId="08CF2548" w14:textId="4FD2BF5A" w:rsidR="0090325B" w:rsidRPr="00C444C7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C444C7">
        <w:rPr>
          <w:rFonts w:ascii="Arial" w:hAnsi="Arial" w:cs="Arial"/>
          <w:u w:val="single"/>
        </w:rPr>
        <w:t>Ciągłość pracy obiektu</w:t>
      </w:r>
    </w:p>
    <w:p w14:paraId="20AF716B" w14:textId="2AF338AC" w:rsidR="0090325B" w:rsidRPr="00C444C7" w:rsidRDefault="0090325B" w:rsidP="0090325B">
      <w:pPr>
        <w:pStyle w:val="Akapitzlist"/>
        <w:ind w:left="1080"/>
        <w:rPr>
          <w:rFonts w:ascii="Arial" w:hAnsi="Arial" w:cs="Arial"/>
        </w:rPr>
      </w:pPr>
      <w:r w:rsidRPr="00C444C7">
        <w:rPr>
          <w:rFonts w:ascii="Arial" w:hAnsi="Arial" w:cs="Arial"/>
        </w:rPr>
        <w:t xml:space="preserve">Prace będą realizowane przy w pełni funkcjonującym obiekcie pogotowia ratunkowego. Przerwy w dostawie energii muszą być minimalizowane i każdorazowo uzgadniane z wyprzedzeniem. Prace nie mogą zakłócać bieżącego funkcjonowania części administracyjnej i operacyjnej pogotowia. </w:t>
      </w:r>
    </w:p>
    <w:p w14:paraId="4195A357" w14:textId="486218AF" w:rsidR="0090325B" w:rsidRPr="00C444C7" w:rsidRDefault="0090325B" w:rsidP="0090325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</w:rPr>
      </w:pPr>
      <w:r w:rsidRPr="00C444C7">
        <w:rPr>
          <w:rFonts w:ascii="Arial" w:hAnsi="Arial" w:cs="Arial"/>
          <w:b/>
          <w:bCs/>
        </w:rPr>
        <w:lastRenderedPageBreak/>
        <w:t>Szczegółowe wymagania techniczne agregatu prądotwórczego</w:t>
      </w:r>
    </w:p>
    <w:p w14:paraId="6ED1C82F" w14:textId="6F3DBF3D" w:rsidR="0090325B" w:rsidRPr="00C444C7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C444C7">
        <w:rPr>
          <w:rFonts w:ascii="Arial" w:hAnsi="Arial" w:cs="Arial"/>
          <w:u w:val="single"/>
        </w:rPr>
        <w:t xml:space="preserve">Parametry podstawowe i eksploatacyjne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C56F2" w:rsidRPr="00C444C7" w14:paraId="3D1DEAB7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3D76992A" w14:textId="79F9B4A1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Rodzaj pracy</w:t>
            </w:r>
          </w:p>
        </w:tc>
        <w:tc>
          <w:tcPr>
            <w:tcW w:w="4531" w:type="dxa"/>
            <w:vAlign w:val="center"/>
          </w:tcPr>
          <w:p w14:paraId="09DEA2F3" w14:textId="0F07908A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Praca rezerwowa (</w:t>
            </w:r>
            <w:proofErr w:type="spellStart"/>
            <w:r w:rsidRPr="00C444C7">
              <w:rPr>
                <w:rFonts w:ascii="Arial" w:hAnsi="Arial" w:cs="Arial"/>
              </w:rPr>
              <w:t>standby</w:t>
            </w:r>
            <w:proofErr w:type="spellEnd"/>
            <w:r w:rsidRPr="00C444C7">
              <w:rPr>
                <w:rFonts w:ascii="Arial" w:hAnsi="Arial" w:cs="Arial"/>
              </w:rPr>
              <w:t>)</w:t>
            </w:r>
          </w:p>
        </w:tc>
      </w:tr>
      <w:tr w:rsidR="00AC56F2" w:rsidRPr="00C444C7" w14:paraId="6555C704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691B6FC6" w14:textId="2B20D711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Moc znamionowa (PRP)</w:t>
            </w:r>
          </w:p>
        </w:tc>
        <w:tc>
          <w:tcPr>
            <w:tcW w:w="4531" w:type="dxa"/>
            <w:vAlign w:val="center"/>
          </w:tcPr>
          <w:p w14:paraId="5C9BF012" w14:textId="443E4A8C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108 kW</w:t>
            </w:r>
          </w:p>
        </w:tc>
      </w:tr>
      <w:tr w:rsidR="00AC56F2" w:rsidRPr="00C444C7" w14:paraId="0E536C60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4E90B455" w14:textId="590A8121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Napięcie wyjściowe / częstotliwość</w:t>
            </w:r>
          </w:p>
        </w:tc>
        <w:tc>
          <w:tcPr>
            <w:tcW w:w="4531" w:type="dxa"/>
            <w:vAlign w:val="center"/>
          </w:tcPr>
          <w:p w14:paraId="2062EE0F" w14:textId="569748F5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 xml:space="preserve">400 V, 50 </w:t>
            </w:r>
            <w:proofErr w:type="spellStart"/>
            <w:r w:rsidRPr="00C444C7">
              <w:rPr>
                <w:rFonts w:ascii="Arial" w:hAnsi="Arial" w:cs="Arial"/>
              </w:rPr>
              <w:t>Hz</w:t>
            </w:r>
            <w:proofErr w:type="spellEnd"/>
            <w:r w:rsidRPr="00C444C7">
              <w:rPr>
                <w:rFonts w:ascii="Arial" w:hAnsi="Arial" w:cs="Arial"/>
              </w:rPr>
              <w:t xml:space="preserve"> (3 fazy)</w:t>
            </w:r>
          </w:p>
        </w:tc>
      </w:tr>
      <w:tr w:rsidR="00AC56F2" w:rsidRPr="00C444C7" w14:paraId="19BBE239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011ECCDD" w14:textId="5B2D38E8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Rodzaj paliwa</w:t>
            </w:r>
          </w:p>
        </w:tc>
        <w:tc>
          <w:tcPr>
            <w:tcW w:w="4531" w:type="dxa"/>
            <w:vAlign w:val="center"/>
          </w:tcPr>
          <w:p w14:paraId="15A5EE83" w14:textId="32EAD002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Olej napędowy (diesel)</w:t>
            </w:r>
          </w:p>
        </w:tc>
      </w:tr>
      <w:tr w:rsidR="00AC56F2" w:rsidRPr="00C444C7" w14:paraId="289F0B46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17D13427" w14:textId="44485B09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Certyfikacja</w:t>
            </w:r>
          </w:p>
        </w:tc>
        <w:tc>
          <w:tcPr>
            <w:tcW w:w="4531" w:type="dxa"/>
            <w:vAlign w:val="center"/>
          </w:tcPr>
          <w:p w14:paraId="4FCA8D64" w14:textId="33B80926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Certyfikat CE</w:t>
            </w:r>
          </w:p>
        </w:tc>
      </w:tr>
      <w:tr w:rsidR="00AC56F2" w:rsidRPr="00C444C7" w14:paraId="1E50EEBF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0A46ED2E" w14:textId="5A693B1B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Gwarancja</w:t>
            </w:r>
          </w:p>
        </w:tc>
        <w:tc>
          <w:tcPr>
            <w:tcW w:w="4531" w:type="dxa"/>
            <w:vAlign w:val="center"/>
          </w:tcPr>
          <w:p w14:paraId="5E05C484" w14:textId="04E9623E" w:rsidR="00AC56F2" w:rsidRPr="00C444C7" w:rsidRDefault="00AC56F2" w:rsidP="00AC56F2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Minimum 24 miesiące lub 1000 godzin pracy</w:t>
            </w:r>
          </w:p>
        </w:tc>
      </w:tr>
    </w:tbl>
    <w:p w14:paraId="1CD820A6" w14:textId="22D258EE" w:rsidR="00AC56F2" w:rsidRPr="00C444C7" w:rsidRDefault="00AC56F2" w:rsidP="00AC56F2">
      <w:pPr>
        <w:rPr>
          <w:rFonts w:ascii="Arial" w:hAnsi="Arial" w:cs="Arial"/>
        </w:rPr>
      </w:pPr>
    </w:p>
    <w:p w14:paraId="74D4DCAA" w14:textId="23F13C7B" w:rsidR="00AC56F2" w:rsidRPr="00C444C7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C444C7">
        <w:rPr>
          <w:rFonts w:ascii="Arial" w:hAnsi="Arial" w:cs="Arial"/>
          <w:u w:val="single"/>
        </w:rPr>
        <w:t>Wymagania dotyczące obudowy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AC56F2" w:rsidRPr="00C444C7" w14:paraId="67B6DC9A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42F5D5CC" w14:textId="09024C19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Typ:</w:t>
            </w:r>
          </w:p>
        </w:tc>
        <w:tc>
          <w:tcPr>
            <w:tcW w:w="6373" w:type="dxa"/>
            <w:vAlign w:val="center"/>
          </w:tcPr>
          <w:p w14:paraId="6C17CA40" w14:textId="0BC7436D" w:rsidR="00AC56F2" w:rsidRPr="00C444C7" w:rsidRDefault="00AC56F2" w:rsidP="00C444C7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Wyciszona, przystosowana do pracy na zewnątrz (atmosferyczna)</w:t>
            </w:r>
          </w:p>
        </w:tc>
      </w:tr>
      <w:tr w:rsidR="00AC56F2" w:rsidRPr="00C444C7" w14:paraId="4106F0BB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6D39FAC0" w14:textId="0CB15BC3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Wykonanie:</w:t>
            </w:r>
          </w:p>
        </w:tc>
        <w:tc>
          <w:tcPr>
            <w:tcW w:w="6373" w:type="dxa"/>
            <w:vAlign w:val="center"/>
          </w:tcPr>
          <w:p w14:paraId="64558CC9" w14:textId="76C484DF" w:rsidR="00AC56F2" w:rsidRPr="00C444C7" w:rsidRDefault="00AC56F2" w:rsidP="00C444C7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Blacha ocynkowana elektrolitycznie, malowana proszkowo, zapewniająca wysoką odporność antykorozyjną</w:t>
            </w:r>
          </w:p>
        </w:tc>
      </w:tr>
      <w:tr w:rsidR="00AC56F2" w:rsidRPr="00C444C7" w14:paraId="7DD3CF53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424E1D7C" w14:textId="2EE6057F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Poziom hałasu:</w:t>
            </w:r>
          </w:p>
        </w:tc>
        <w:tc>
          <w:tcPr>
            <w:tcW w:w="6373" w:type="dxa"/>
            <w:vAlign w:val="center"/>
          </w:tcPr>
          <w:p w14:paraId="49CDF8EF" w14:textId="4660B2AA" w:rsidR="00AC56F2" w:rsidRPr="00C444C7" w:rsidRDefault="00AC56F2" w:rsidP="00C444C7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 xml:space="preserve">Maksymalnie 68 </w:t>
            </w:r>
            <w:proofErr w:type="spellStart"/>
            <w:r w:rsidRPr="00C444C7">
              <w:rPr>
                <w:rFonts w:ascii="Arial" w:hAnsi="Arial" w:cs="Arial"/>
              </w:rPr>
              <w:t>dB</w:t>
            </w:r>
            <w:proofErr w:type="spellEnd"/>
            <w:r w:rsidRPr="00C444C7">
              <w:rPr>
                <w:rFonts w:ascii="Arial" w:hAnsi="Arial" w:cs="Arial"/>
              </w:rPr>
              <w:t xml:space="preserve"> mierzony z odległości 7 metrów</w:t>
            </w:r>
          </w:p>
        </w:tc>
      </w:tr>
      <w:tr w:rsidR="00AC56F2" w:rsidRPr="00C444C7" w14:paraId="52E6AB0F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41C58F93" w14:textId="1F277B1A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Bezpieczeństwo i dostęp:</w:t>
            </w:r>
          </w:p>
        </w:tc>
        <w:tc>
          <w:tcPr>
            <w:tcW w:w="6373" w:type="dxa"/>
            <w:vAlign w:val="center"/>
          </w:tcPr>
          <w:p w14:paraId="45F5F7D5" w14:textId="77777777" w:rsidR="00C444C7" w:rsidRDefault="00AC56F2" w:rsidP="00C444C7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 xml:space="preserve">Stopień ochrony minimum IP44, wewnętrzna ochrona </w:t>
            </w:r>
          </w:p>
          <w:p w14:paraId="6D615DE7" w14:textId="77777777" w:rsidR="00C444C7" w:rsidRDefault="00AC56F2" w:rsidP="00C444C7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 xml:space="preserve">przed kontaktem z gorącymi elementami silnika i układu wydechowego, drzwi serwisowe zamykane na klucz, </w:t>
            </w:r>
          </w:p>
          <w:p w14:paraId="5321CDF2" w14:textId="08317BA7" w:rsidR="00AC56F2" w:rsidRPr="00C444C7" w:rsidRDefault="00AC56F2" w:rsidP="00C444C7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łatwo dostępny zewnętrzny awaryjny wyłącznik bezpieczeństwa</w:t>
            </w:r>
          </w:p>
        </w:tc>
      </w:tr>
    </w:tbl>
    <w:p w14:paraId="42325506" w14:textId="77777777" w:rsidR="00AC56F2" w:rsidRPr="00C444C7" w:rsidRDefault="00AC56F2" w:rsidP="00AC56F2">
      <w:pPr>
        <w:rPr>
          <w:rFonts w:ascii="Arial" w:hAnsi="Arial" w:cs="Arial"/>
        </w:rPr>
      </w:pPr>
    </w:p>
    <w:p w14:paraId="7A38334A" w14:textId="410B0776" w:rsidR="00AC56F2" w:rsidRPr="00C444C7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C444C7">
        <w:rPr>
          <w:rFonts w:ascii="Arial" w:hAnsi="Arial" w:cs="Arial"/>
          <w:u w:val="single"/>
        </w:rPr>
        <w:t xml:space="preserve">Wymagania dotyczące silnika napędowego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AC56F2" w:rsidRPr="00C444C7" w14:paraId="07C62A18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697BD2EA" w14:textId="69A90F5D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Typ:</w:t>
            </w:r>
          </w:p>
        </w:tc>
        <w:tc>
          <w:tcPr>
            <w:tcW w:w="6373" w:type="dxa"/>
            <w:vAlign w:val="center"/>
          </w:tcPr>
          <w:p w14:paraId="4E57578A" w14:textId="43B5FA37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Spalinowy wysokoprężny (diesel), wyposażony w minimum 4 cylindry</w:t>
            </w:r>
          </w:p>
        </w:tc>
      </w:tr>
      <w:tr w:rsidR="00AC56F2" w:rsidRPr="00C444C7" w14:paraId="00EB35BB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58498FD7" w14:textId="0BF990AC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Pojemność skokowa:</w:t>
            </w:r>
          </w:p>
        </w:tc>
        <w:tc>
          <w:tcPr>
            <w:tcW w:w="6373" w:type="dxa"/>
            <w:vAlign w:val="center"/>
          </w:tcPr>
          <w:p w14:paraId="192022FE" w14:textId="3DA97646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Minimum 3,9 litra</w:t>
            </w:r>
          </w:p>
        </w:tc>
      </w:tr>
      <w:tr w:rsidR="00AC56F2" w:rsidRPr="00C444C7" w14:paraId="2EA71CB3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5A78F709" w14:textId="296F925B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Prędkość obrotowa:</w:t>
            </w:r>
          </w:p>
        </w:tc>
        <w:tc>
          <w:tcPr>
            <w:tcW w:w="6373" w:type="dxa"/>
            <w:vAlign w:val="center"/>
          </w:tcPr>
          <w:p w14:paraId="6DAA05A2" w14:textId="1CA1F247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 xml:space="preserve">1500 </w:t>
            </w:r>
            <w:proofErr w:type="spellStart"/>
            <w:r w:rsidRPr="00C444C7">
              <w:rPr>
                <w:rFonts w:ascii="Arial" w:hAnsi="Arial" w:cs="Arial"/>
              </w:rPr>
              <w:t>obr</w:t>
            </w:r>
            <w:proofErr w:type="spellEnd"/>
            <w:r w:rsidRPr="00C444C7">
              <w:rPr>
                <w:rFonts w:ascii="Arial" w:hAnsi="Arial" w:cs="Arial"/>
              </w:rPr>
              <w:t>./min. z elektroniczną lub elektryczną regulacją obrotów</w:t>
            </w:r>
          </w:p>
        </w:tc>
      </w:tr>
      <w:tr w:rsidR="00AC56F2" w:rsidRPr="00C444C7" w14:paraId="00877A57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5C04DAD0" w14:textId="55BDC2FD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Układy pomocnicze:</w:t>
            </w:r>
          </w:p>
        </w:tc>
        <w:tc>
          <w:tcPr>
            <w:tcW w:w="6373" w:type="dxa"/>
            <w:vAlign w:val="center"/>
          </w:tcPr>
          <w:p w14:paraId="414B4AF5" w14:textId="64D0E785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Pojemność układu chłodzenia od 5 do 15 litrów; pojemność układu olejowego od 5 do 15 litrów</w:t>
            </w:r>
          </w:p>
        </w:tc>
      </w:tr>
      <w:tr w:rsidR="00AC56F2" w:rsidRPr="00C444C7" w14:paraId="3C62998F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686D0D35" w14:textId="52B10AD3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Autonomia pracy:</w:t>
            </w:r>
          </w:p>
        </w:tc>
        <w:tc>
          <w:tcPr>
            <w:tcW w:w="6373" w:type="dxa"/>
            <w:vAlign w:val="center"/>
          </w:tcPr>
          <w:p w14:paraId="3AA08D89" w14:textId="416FB49D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Zbiornik paliwa o pojemności min. 100 litrów, zapewniający 12 godzin ciągłej pracy przy obciążeniu 75% mocy znamionowej</w:t>
            </w:r>
          </w:p>
        </w:tc>
      </w:tr>
    </w:tbl>
    <w:p w14:paraId="6A9176F6" w14:textId="2C62A726" w:rsidR="00AC56F2" w:rsidRPr="00C444C7" w:rsidRDefault="00AC56F2" w:rsidP="00AC56F2">
      <w:pPr>
        <w:rPr>
          <w:rFonts w:ascii="Arial" w:hAnsi="Arial" w:cs="Arial"/>
        </w:rPr>
      </w:pPr>
    </w:p>
    <w:p w14:paraId="74284474" w14:textId="22D6CB49" w:rsidR="00AC56F2" w:rsidRPr="00C444C7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C444C7">
        <w:rPr>
          <w:rFonts w:ascii="Arial" w:hAnsi="Arial" w:cs="Arial"/>
          <w:u w:val="single"/>
        </w:rPr>
        <w:t>Wymagania dotyczące prądnicy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AC56F2" w:rsidRPr="00C444C7" w14:paraId="26686774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137A00B1" w14:textId="552635ED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Moc prądnicy (PRP):</w:t>
            </w:r>
          </w:p>
        </w:tc>
        <w:tc>
          <w:tcPr>
            <w:tcW w:w="6373" w:type="dxa"/>
            <w:vAlign w:val="center"/>
          </w:tcPr>
          <w:p w14:paraId="4A793162" w14:textId="3CB9B690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Minimum 130 kVA</w:t>
            </w:r>
          </w:p>
        </w:tc>
      </w:tr>
      <w:tr w:rsidR="00AC56F2" w:rsidRPr="00C444C7" w14:paraId="118D51D7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E55815E" w14:textId="5B65AE84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Konstrukcja:</w:t>
            </w:r>
          </w:p>
        </w:tc>
        <w:tc>
          <w:tcPr>
            <w:tcW w:w="6373" w:type="dxa"/>
            <w:vAlign w:val="center"/>
          </w:tcPr>
          <w:p w14:paraId="0150BDC8" w14:textId="6DE483B7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 xml:space="preserve">Synchroniczna, samowzbudna, samoregulująca, </w:t>
            </w:r>
            <w:proofErr w:type="spellStart"/>
            <w:r w:rsidRPr="00C444C7">
              <w:rPr>
                <w:rFonts w:ascii="Arial" w:hAnsi="Arial" w:cs="Arial"/>
              </w:rPr>
              <w:t>bezszczotkowa</w:t>
            </w:r>
            <w:proofErr w:type="spellEnd"/>
          </w:p>
        </w:tc>
      </w:tr>
      <w:tr w:rsidR="00AC56F2" w:rsidRPr="00C444C7" w14:paraId="4C13E89A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758950B6" w14:textId="5E1449D2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Regulacja napięcia:</w:t>
            </w:r>
          </w:p>
        </w:tc>
        <w:tc>
          <w:tcPr>
            <w:tcW w:w="6373" w:type="dxa"/>
            <w:vAlign w:val="center"/>
          </w:tcPr>
          <w:p w14:paraId="2FEA56E2" w14:textId="3D00D6D4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Elektroniczny stabilizator napięcia (AVR)</w:t>
            </w:r>
          </w:p>
        </w:tc>
      </w:tr>
      <w:tr w:rsidR="00AC56F2" w:rsidRPr="00C444C7" w14:paraId="21488D38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32CF473E" w14:textId="03D88E40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Klasa izolacji:</w:t>
            </w:r>
          </w:p>
        </w:tc>
        <w:tc>
          <w:tcPr>
            <w:tcW w:w="6373" w:type="dxa"/>
            <w:vAlign w:val="center"/>
          </w:tcPr>
          <w:p w14:paraId="54ECF38F" w14:textId="61C9B3FC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Klasa H, stopień ochrony min. IP 23</w:t>
            </w:r>
          </w:p>
        </w:tc>
      </w:tr>
      <w:tr w:rsidR="00AC56F2" w:rsidRPr="00C444C7" w14:paraId="0F61414A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775E4FC4" w14:textId="07721553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Współczynnik mocy:</w:t>
            </w:r>
          </w:p>
        </w:tc>
        <w:tc>
          <w:tcPr>
            <w:tcW w:w="6373" w:type="dxa"/>
            <w:vAlign w:val="center"/>
          </w:tcPr>
          <w:p w14:paraId="78271BC5" w14:textId="11E24736" w:rsidR="00AC56F2" w:rsidRPr="00C444C7" w:rsidRDefault="00AC56F2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cos φ = 0,8</w:t>
            </w:r>
          </w:p>
        </w:tc>
      </w:tr>
    </w:tbl>
    <w:p w14:paraId="5A6E0C10" w14:textId="7C25A11C" w:rsidR="00AC56F2" w:rsidRPr="00C444C7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C444C7">
        <w:rPr>
          <w:rFonts w:ascii="Arial" w:hAnsi="Arial" w:cs="Arial"/>
          <w:u w:val="single"/>
        </w:rPr>
        <w:lastRenderedPageBreak/>
        <w:t>Panel sterowania (sterownik) i wyposażenie dodatkowe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9C13B8" w:rsidRPr="00C444C7" w14:paraId="794E5B0B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70FE374B" w14:textId="642C2437" w:rsidR="009C13B8" w:rsidRPr="00C444C7" w:rsidRDefault="009C13B8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Interfejs:</w:t>
            </w:r>
          </w:p>
        </w:tc>
        <w:tc>
          <w:tcPr>
            <w:tcW w:w="6373" w:type="dxa"/>
            <w:vAlign w:val="center"/>
          </w:tcPr>
          <w:p w14:paraId="639C2BEF" w14:textId="735635DD" w:rsidR="009C13B8" w:rsidRPr="00C444C7" w:rsidRDefault="009C13B8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Wyświetlacz LCD, tryb pracy ręczny oraz w pełni automatyczny</w:t>
            </w:r>
          </w:p>
        </w:tc>
      </w:tr>
      <w:tr w:rsidR="009C13B8" w:rsidRPr="00C444C7" w14:paraId="0A8DEAB5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4E07B26D" w14:textId="15B1950B" w:rsidR="009C13B8" w:rsidRPr="00C444C7" w:rsidRDefault="009C13B8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Funkcje kontrolne:</w:t>
            </w:r>
          </w:p>
        </w:tc>
        <w:tc>
          <w:tcPr>
            <w:tcW w:w="6373" w:type="dxa"/>
            <w:vAlign w:val="center"/>
          </w:tcPr>
          <w:p w14:paraId="1854DC23" w14:textId="085300F3" w:rsidR="009C13B8" w:rsidRPr="00C444C7" w:rsidRDefault="009C13B8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Monitoring prędkości obrotowej, napięcia, częstotliwości, czasu pracy, stanu naładowania akumulatora rozruchowego, sygnalizacja i ochrona przed stanami alarmowymi (niskie ciśnienie oleju, wysoka temperatura, itp.)</w:t>
            </w:r>
          </w:p>
        </w:tc>
      </w:tr>
      <w:tr w:rsidR="009C13B8" w:rsidRPr="00C444C7" w14:paraId="75B42C6B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171D9E1" w14:textId="3A188B9E" w:rsidR="009C13B8" w:rsidRPr="00C444C7" w:rsidRDefault="009C13B8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Układ SZR:</w:t>
            </w:r>
          </w:p>
        </w:tc>
        <w:tc>
          <w:tcPr>
            <w:tcW w:w="6373" w:type="dxa"/>
            <w:vAlign w:val="center"/>
          </w:tcPr>
          <w:p w14:paraId="07C04217" w14:textId="62942A71" w:rsidR="009C13B8" w:rsidRPr="00C444C7" w:rsidRDefault="009C13B8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Dostarczany w dedykowanej, wiszącej lub stojącej obudowie metalowej o stopniu ochrony min. IP 54, wyposażony w blokadę mechaniczną i elektryczną uniemożliwiającą jednoczesne załączenie obu źródeł zasilania (sieć / generator)</w:t>
            </w:r>
          </w:p>
        </w:tc>
      </w:tr>
      <w:tr w:rsidR="009C13B8" w:rsidRPr="00C444C7" w14:paraId="5D6DD2FA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1C18F5D4" w14:textId="27077F31" w:rsidR="009C13B8" w:rsidRPr="00C444C7" w:rsidRDefault="009C13B8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>Wyposażenie pomocnicze:</w:t>
            </w:r>
          </w:p>
        </w:tc>
        <w:tc>
          <w:tcPr>
            <w:tcW w:w="6373" w:type="dxa"/>
            <w:vAlign w:val="center"/>
          </w:tcPr>
          <w:p w14:paraId="049B85EF" w14:textId="7E9E6CF8" w:rsidR="009C13B8" w:rsidRPr="00C444C7" w:rsidRDefault="009C13B8" w:rsidP="00A92C83">
            <w:pPr>
              <w:rPr>
                <w:rFonts w:ascii="Arial" w:hAnsi="Arial" w:cs="Arial"/>
              </w:rPr>
            </w:pPr>
            <w:r w:rsidRPr="00C444C7">
              <w:rPr>
                <w:rFonts w:ascii="Arial" w:hAnsi="Arial" w:cs="Arial"/>
              </w:rPr>
              <w:t xml:space="preserve">Rama </w:t>
            </w:r>
            <w:proofErr w:type="spellStart"/>
            <w:r w:rsidRPr="00C444C7">
              <w:rPr>
                <w:rFonts w:ascii="Arial" w:hAnsi="Arial" w:cs="Arial"/>
              </w:rPr>
              <w:t>bezwyciekowa</w:t>
            </w:r>
            <w:proofErr w:type="spellEnd"/>
            <w:r w:rsidRPr="00C444C7">
              <w:rPr>
                <w:rFonts w:ascii="Arial" w:hAnsi="Arial" w:cs="Arial"/>
              </w:rPr>
              <w:t xml:space="preserve"> (wanna retencyjna) o pojemności min. 100% wszystkich płynów eksploatacyjnych, zewnętrzne punkty spustowe płynów, automatyczna grzałka płynu chłodzącego silnik, automatyczna ładowarka akumulatorów, interfejs komunikacyjny dla zdalnego monitoringu (GSM lub Ethernet)</w:t>
            </w:r>
          </w:p>
        </w:tc>
      </w:tr>
    </w:tbl>
    <w:p w14:paraId="0DF051C7" w14:textId="77777777" w:rsidR="009C13B8" w:rsidRPr="00C444C7" w:rsidRDefault="009C13B8" w:rsidP="009C13B8">
      <w:pPr>
        <w:rPr>
          <w:rFonts w:ascii="Arial" w:hAnsi="Arial" w:cs="Arial"/>
        </w:rPr>
      </w:pPr>
    </w:p>
    <w:p w14:paraId="6061DDBD" w14:textId="6011A6BA" w:rsidR="009C13B8" w:rsidRPr="00C444C7" w:rsidRDefault="009C13B8" w:rsidP="009C13B8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</w:rPr>
      </w:pPr>
      <w:r w:rsidRPr="00C444C7">
        <w:rPr>
          <w:rFonts w:ascii="Arial" w:hAnsi="Arial" w:cs="Arial"/>
          <w:b/>
          <w:bCs/>
        </w:rPr>
        <w:t>Przedmiar robót i zakres prac instalacyjnych</w:t>
      </w:r>
    </w:p>
    <w:p w14:paraId="55ACE2F6" w14:textId="481FEFD8" w:rsidR="009C13B8" w:rsidRPr="00C444C7" w:rsidRDefault="009C13B8" w:rsidP="00C444C7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Przedmiar robót przedstawiony poniżej ma charakter wyłącznie pomocniczy, informacyjny  i poglądowy. Zaleca się przeprowadzenie wizji lokalnej przez Wykonawcę przed złożeniem oferty.</w:t>
      </w:r>
    </w:p>
    <w:p w14:paraId="39106834" w14:textId="21E2074D" w:rsidR="009C13B8" w:rsidRPr="00C444C7" w:rsidRDefault="009C13B8" w:rsidP="009C13B8">
      <w:pPr>
        <w:rPr>
          <w:rFonts w:ascii="Arial" w:hAnsi="Arial" w:cs="Arial"/>
        </w:rPr>
      </w:pPr>
    </w:p>
    <w:p w14:paraId="79A0A40C" w14:textId="5CC5BF7B" w:rsidR="00C043DB" w:rsidRPr="00C444C7" w:rsidRDefault="00C043DB" w:rsidP="009C13B8">
      <w:pPr>
        <w:rPr>
          <w:rFonts w:ascii="Arial" w:hAnsi="Arial" w:cs="Arial"/>
        </w:rPr>
      </w:pPr>
      <w:r w:rsidRPr="00C444C7">
        <w:rPr>
          <w:rFonts w:ascii="Arial" w:hAnsi="Arial" w:cs="Arial"/>
          <w:noProof/>
        </w:rPr>
        <w:lastRenderedPageBreak/>
        <w:drawing>
          <wp:inline distT="0" distB="0" distL="0" distR="0" wp14:anchorId="6A614A05" wp14:editId="100881A3">
            <wp:extent cx="5762625" cy="8153400"/>
            <wp:effectExtent l="0" t="0" r="9525" b="0"/>
            <wp:docPr id="79577343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2EAE6" w14:textId="77777777" w:rsidR="00C043DB" w:rsidRPr="00C444C7" w:rsidRDefault="00C043DB" w:rsidP="009C13B8">
      <w:pPr>
        <w:rPr>
          <w:rFonts w:ascii="Arial" w:hAnsi="Arial" w:cs="Arial"/>
        </w:rPr>
      </w:pPr>
    </w:p>
    <w:p w14:paraId="750E9053" w14:textId="479BE9BE" w:rsidR="00C043DB" w:rsidRPr="00C444C7" w:rsidRDefault="00C043DB" w:rsidP="009C13B8">
      <w:pPr>
        <w:rPr>
          <w:rFonts w:ascii="Arial" w:hAnsi="Arial" w:cs="Arial"/>
        </w:rPr>
      </w:pPr>
      <w:r w:rsidRPr="00C444C7">
        <w:rPr>
          <w:rFonts w:ascii="Arial" w:hAnsi="Arial" w:cs="Arial"/>
          <w:noProof/>
        </w:rPr>
        <w:lastRenderedPageBreak/>
        <w:drawing>
          <wp:inline distT="0" distB="0" distL="0" distR="0" wp14:anchorId="64B121CC" wp14:editId="54B71E0B">
            <wp:extent cx="5762625" cy="8153400"/>
            <wp:effectExtent l="0" t="0" r="9525" b="0"/>
            <wp:docPr id="177781863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4735A" w14:textId="77777777" w:rsidR="00C043DB" w:rsidRPr="00C444C7" w:rsidRDefault="00C043DB" w:rsidP="009C13B8">
      <w:pPr>
        <w:rPr>
          <w:rFonts w:ascii="Arial" w:hAnsi="Arial" w:cs="Arial"/>
        </w:rPr>
      </w:pPr>
    </w:p>
    <w:p w14:paraId="279B0F1F" w14:textId="77777777" w:rsidR="00C043DB" w:rsidRPr="00C444C7" w:rsidRDefault="00C043DB" w:rsidP="009C13B8">
      <w:pPr>
        <w:rPr>
          <w:rFonts w:ascii="Arial" w:hAnsi="Arial" w:cs="Arial"/>
        </w:rPr>
      </w:pPr>
    </w:p>
    <w:p w14:paraId="4129864A" w14:textId="0FB30C1A" w:rsidR="00C043DB" w:rsidRPr="00C444C7" w:rsidRDefault="00C043DB" w:rsidP="009C13B8">
      <w:pPr>
        <w:rPr>
          <w:rFonts w:ascii="Arial" w:hAnsi="Arial" w:cs="Arial"/>
        </w:rPr>
      </w:pPr>
      <w:r w:rsidRPr="00C444C7">
        <w:rPr>
          <w:rFonts w:ascii="Arial" w:hAnsi="Arial" w:cs="Arial"/>
          <w:noProof/>
        </w:rPr>
        <w:lastRenderedPageBreak/>
        <w:drawing>
          <wp:inline distT="0" distB="0" distL="0" distR="0" wp14:anchorId="533B2C6E" wp14:editId="692BE9D9">
            <wp:extent cx="5762625" cy="8153400"/>
            <wp:effectExtent l="0" t="0" r="9525" b="0"/>
            <wp:docPr id="207840840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1DDD3" w14:textId="77777777" w:rsidR="00C043DB" w:rsidRPr="00C444C7" w:rsidRDefault="00C043DB" w:rsidP="009C13B8">
      <w:pPr>
        <w:rPr>
          <w:rFonts w:ascii="Arial" w:hAnsi="Arial" w:cs="Arial"/>
        </w:rPr>
      </w:pPr>
    </w:p>
    <w:p w14:paraId="20E4066C" w14:textId="77777777" w:rsidR="00C043DB" w:rsidRPr="00C444C7" w:rsidRDefault="00C043DB" w:rsidP="009C13B8">
      <w:pPr>
        <w:rPr>
          <w:rFonts w:ascii="Arial" w:hAnsi="Arial" w:cs="Arial"/>
        </w:rPr>
      </w:pPr>
    </w:p>
    <w:p w14:paraId="2676CA72" w14:textId="52842CF4" w:rsidR="00C043DB" w:rsidRPr="00777614" w:rsidRDefault="00C043DB" w:rsidP="00C043D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</w:rPr>
      </w:pPr>
      <w:r w:rsidRPr="00777614">
        <w:rPr>
          <w:rFonts w:ascii="Arial" w:hAnsi="Arial" w:cs="Arial"/>
          <w:b/>
          <w:bCs/>
        </w:rPr>
        <w:lastRenderedPageBreak/>
        <w:t>Warunki formalno-prawne i organizacja robót</w:t>
      </w:r>
    </w:p>
    <w:p w14:paraId="0EA94101" w14:textId="69D03B05" w:rsidR="00C043DB" w:rsidRPr="00777614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 xml:space="preserve"> Zgłoszenia i pozwolenia budowlane</w:t>
      </w:r>
    </w:p>
    <w:p w14:paraId="6CA7EF10" w14:textId="68E4CA7A" w:rsidR="00C043DB" w:rsidRPr="00C444C7" w:rsidRDefault="00C043DB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Wykonawca jest w pełni odpowiedzialny za przeprowadzenie właściwej procedury administracyjnej wymaganej prze z Prawo Budowlane. Zamawiający na pisemny wniosek udzieli pełnomocnictwa do reprezentowania przed organami administracji architektoniczno-budowlanej.</w:t>
      </w:r>
    </w:p>
    <w:p w14:paraId="2B66854A" w14:textId="77777777" w:rsidR="00C043DB" w:rsidRPr="00777614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>Plan BIOZ</w:t>
      </w:r>
    </w:p>
    <w:p w14:paraId="01E29CAD" w14:textId="77777777" w:rsidR="00C043DB" w:rsidRPr="00C444C7" w:rsidRDefault="00C043DB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Przed przystąpieniem do jakichkolwiek robót budowlanych na terenie budowy. Wykonawca zobowiązany jest sporządzić i przedstawić Zamawiającemu Plan Bezpieczeństwa i Ochrony Zdrowia.</w:t>
      </w:r>
    </w:p>
    <w:p w14:paraId="725A51F5" w14:textId="77777777" w:rsidR="00C043DB" w:rsidRPr="00777614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>Ochrona środowiska</w:t>
      </w:r>
    </w:p>
    <w:p w14:paraId="10DC576E" w14:textId="0B7CA9CD" w:rsidR="00C043DB" w:rsidRPr="00C444C7" w:rsidRDefault="00C043DB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Wykonawca zobowiązany jest do minimalizacji wpływu robót na środowisko naturalne.</w:t>
      </w:r>
      <w:r w:rsidRPr="00C444C7">
        <w:rPr>
          <w:rFonts w:ascii="Arial" w:hAnsi="Arial" w:cs="Arial"/>
        </w:rPr>
        <w:cr/>
        <w:t>Wszelkie odpady budowlane i ziemne (np. gruz, nadmiar ziemi z wykopów) muszą być utylizowane zgodnie z</w:t>
      </w:r>
      <w:r w:rsidRPr="00C444C7">
        <w:rPr>
          <w:rFonts w:ascii="Arial" w:hAnsi="Arial" w:cs="Arial"/>
        </w:rPr>
        <w:t xml:space="preserve"> </w:t>
      </w:r>
      <w:r w:rsidRPr="00C444C7">
        <w:rPr>
          <w:rFonts w:ascii="Arial" w:hAnsi="Arial" w:cs="Arial"/>
        </w:rPr>
        <w:t>ustawą o odpadach na koszt Wykonawcy. Agregat musi posiadać pełną wannę retencyjną chroniącą grunt przed</w:t>
      </w:r>
      <w:r w:rsidRPr="00C444C7">
        <w:rPr>
          <w:rFonts w:ascii="Arial" w:hAnsi="Arial" w:cs="Arial"/>
        </w:rPr>
        <w:t xml:space="preserve"> </w:t>
      </w:r>
      <w:r w:rsidRPr="00C444C7">
        <w:rPr>
          <w:rFonts w:ascii="Arial" w:hAnsi="Arial" w:cs="Arial"/>
        </w:rPr>
        <w:t>ewentualnym wyciekiem paliwa lub oleju.</w:t>
      </w:r>
    </w:p>
    <w:p w14:paraId="137B698D" w14:textId="2A2B3723" w:rsidR="00C043DB" w:rsidRPr="00777614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>Uporządkowanie terenu</w:t>
      </w:r>
    </w:p>
    <w:p w14:paraId="2B13542D" w14:textId="1908284F" w:rsidR="00C043DB" w:rsidRPr="00C444C7" w:rsidRDefault="00C043DB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Po zakończeniu prac, teren zielony i sąsiadujący utwardzoną kostką brukową musi zostać przywrócony przez Wykonawcę do stanu pierwotnego (wyrównanie, uzupełnienie ziemi, obsianie trawą, naprawa ubytków kostki, itp.)</w:t>
      </w:r>
    </w:p>
    <w:p w14:paraId="6463BF62" w14:textId="1E570CC2" w:rsidR="00C043DB" w:rsidRPr="00777614" w:rsidRDefault="00C043DB" w:rsidP="00C043D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</w:rPr>
      </w:pPr>
      <w:r w:rsidRPr="00777614">
        <w:rPr>
          <w:rFonts w:ascii="Arial" w:hAnsi="Arial" w:cs="Arial"/>
          <w:b/>
          <w:bCs/>
        </w:rPr>
        <w:t>Dokumentacja powykonawcza i szkolenie personelu</w:t>
      </w:r>
    </w:p>
    <w:p w14:paraId="36CD7F71" w14:textId="7E5655BB" w:rsidR="00C043DB" w:rsidRPr="00C444C7" w:rsidRDefault="00C043DB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 xml:space="preserve">Warunkiem przystąpienia do odbioru końcowego jest dostarczenie kompletnej dokumentacji powykonawczej w trzech (3) egzemplarzach papierowych oraz dwóch (2) egzemplarzach </w:t>
      </w:r>
      <w:r w:rsidR="00777614">
        <w:rPr>
          <w:rFonts w:ascii="Arial" w:hAnsi="Arial" w:cs="Arial"/>
        </w:rPr>
        <w:br/>
      </w:r>
      <w:r w:rsidRPr="00C444C7">
        <w:rPr>
          <w:rFonts w:ascii="Arial" w:hAnsi="Arial" w:cs="Arial"/>
        </w:rPr>
        <w:t>w wersji cyfrowej (format PDF oraz formaty edytowalne na nośniku pendrive).</w:t>
      </w:r>
    </w:p>
    <w:p w14:paraId="6BD41D20" w14:textId="7BAAF953" w:rsidR="00C043DB" w:rsidRPr="00777614" w:rsidRDefault="00C043DB" w:rsidP="00C043DB">
      <w:pPr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>Dokumentacja powykonawcza musi zawierać:</w:t>
      </w:r>
    </w:p>
    <w:p w14:paraId="6B6AE187" w14:textId="0ED71252" w:rsidR="002C57FD" w:rsidRPr="00777614" w:rsidRDefault="002C57FD" w:rsidP="002C57FD">
      <w:pPr>
        <w:pStyle w:val="Akapitzlist"/>
        <w:numPr>
          <w:ilvl w:val="0"/>
          <w:numId w:val="4"/>
        </w:numPr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>Pełną dokumentację projektowo – wykonawczą ze wszystkimi naniesionymi zmianami.</w:t>
      </w:r>
    </w:p>
    <w:p w14:paraId="050B56F3" w14:textId="6C9FAE49" w:rsidR="002C57FD" w:rsidRPr="00777614" w:rsidRDefault="002C57FD" w:rsidP="002C57FD">
      <w:pPr>
        <w:pStyle w:val="Akapitzlist"/>
        <w:numPr>
          <w:ilvl w:val="0"/>
          <w:numId w:val="4"/>
        </w:numPr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 xml:space="preserve">Dokumentację Techniczno-Ruchową (DTR) wybudowanych systemów </w:t>
      </w:r>
      <w:r w:rsidR="00777614">
        <w:rPr>
          <w:rFonts w:ascii="Arial" w:hAnsi="Arial" w:cs="Arial"/>
          <w:i/>
          <w:iCs/>
        </w:rPr>
        <w:br/>
      </w:r>
      <w:r w:rsidRPr="00777614">
        <w:rPr>
          <w:rFonts w:ascii="Arial" w:hAnsi="Arial" w:cs="Arial"/>
          <w:i/>
          <w:iCs/>
        </w:rPr>
        <w:t>i dostarczonych urządzeń (w języku polskim)</w:t>
      </w:r>
    </w:p>
    <w:p w14:paraId="0E675D8C" w14:textId="445E318C" w:rsidR="002C57FD" w:rsidRPr="00777614" w:rsidRDefault="002C57FD" w:rsidP="002C57FD">
      <w:pPr>
        <w:pStyle w:val="Akapitzlist"/>
        <w:numPr>
          <w:ilvl w:val="0"/>
          <w:numId w:val="4"/>
        </w:numPr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 xml:space="preserve">Protokoły badań i sprawdzeń instalacji, próby funkcjonalne układu SZR </w:t>
      </w:r>
      <w:r w:rsidR="00777614">
        <w:rPr>
          <w:rFonts w:ascii="Arial" w:hAnsi="Arial" w:cs="Arial"/>
          <w:i/>
          <w:iCs/>
        </w:rPr>
        <w:br/>
      </w:r>
      <w:r w:rsidRPr="00777614">
        <w:rPr>
          <w:rFonts w:ascii="Arial" w:hAnsi="Arial" w:cs="Arial"/>
          <w:i/>
          <w:iCs/>
        </w:rPr>
        <w:t>oraz protokoły robót ulegających zakryciu.</w:t>
      </w:r>
    </w:p>
    <w:p w14:paraId="62873189" w14:textId="298A321B" w:rsidR="002C57FD" w:rsidRPr="00777614" w:rsidRDefault="002C57FD" w:rsidP="002C57FD">
      <w:pPr>
        <w:pStyle w:val="Akapitzlist"/>
        <w:numPr>
          <w:ilvl w:val="0"/>
          <w:numId w:val="4"/>
        </w:numPr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>Protokoły pomiarów elektrycznych:</w:t>
      </w:r>
    </w:p>
    <w:p w14:paraId="63C66F94" w14:textId="2601E67C" w:rsidR="002C57FD" w:rsidRPr="00777614" w:rsidRDefault="002C57FD" w:rsidP="002C57FD">
      <w:pPr>
        <w:pStyle w:val="Akapitzlist"/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>- badanie skuteczności ochrony przeciwporażeniowej (impedancji pętli zwarcia)</w:t>
      </w:r>
    </w:p>
    <w:p w14:paraId="751D25F5" w14:textId="552FE0EF" w:rsidR="002C57FD" w:rsidRPr="00777614" w:rsidRDefault="002C57FD" w:rsidP="002C57FD">
      <w:pPr>
        <w:pStyle w:val="Akapitzlist"/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>- badanie działania wyłączników różnicowoprądowych (RCD)</w:t>
      </w:r>
    </w:p>
    <w:p w14:paraId="6249E1CD" w14:textId="27B39ABC" w:rsidR="002C57FD" w:rsidRPr="00777614" w:rsidRDefault="002C57FD" w:rsidP="002C57FD">
      <w:pPr>
        <w:pStyle w:val="Akapitzlist"/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>- pomiary rezystancji izolacji przewodów i kabli zasilających</w:t>
      </w:r>
    </w:p>
    <w:p w14:paraId="430C0552" w14:textId="44EE0BF9" w:rsidR="002C57FD" w:rsidRPr="00777614" w:rsidRDefault="002C57FD" w:rsidP="002C57FD">
      <w:pPr>
        <w:pStyle w:val="Akapitzlist"/>
        <w:numPr>
          <w:ilvl w:val="0"/>
          <w:numId w:val="4"/>
        </w:numPr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 xml:space="preserve">Atesty, certyfikaty deklaracji zgodności CE wbudowanych wyrobów budowlanych </w:t>
      </w:r>
      <w:r w:rsidR="00777614">
        <w:rPr>
          <w:rFonts w:ascii="Arial" w:hAnsi="Arial" w:cs="Arial"/>
          <w:i/>
          <w:iCs/>
        </w:rPr>
        <w:br/>
      </w:r>
      <w:r w:rsidRPr="00777614">
        <w:rPr>
          <w:rFonts w:ascii="Arial" w:hAnsi="Arial" w:cs="Arial"/>
          <w:i/>
          <w:iCs/>
        </w:rPr>
        <w:t>i urządzeń oraz zatwierdzone karty materiałowe.</w:t>
      </w:r>
    </w:p>
    <w:p w14:paraId="53EC1487" w14:textId="77777777" w:rsidR="002C57FD" w:rsidRDefault="002C57FD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Wykonawca przeprowadzi szkolenie personelu wskazanego przez Zamawiającego z zasad bezpiecznej obsługi, testowania oraz codziennej eksploatacji agregatu. Szkolenie zostanie potwierdzone pisemnym protokołem zawierającym: temat, szczegółowy zakres szkolenia, datę, czas trwania oraz listę z podpisami uczestników.</w:t>
      </w:r>
    </w:p>
    <w:p w14:paraId="2582F8BE" w14:textId="77777777" w:rsidR="00777614" w:rsidRDefault="00777614" w:rsidP="00777614">
      <w:pPr>
        <w:jc w:val="both"/>
        <w:rPr>
          <w:rFonts w:ascii="Arial" w:hAnsi="Arial" w:cs="Arial"/>
        </w:rPr>
      </w:pPr>
    </w:p>
    <w:p w14:paraId="46BCC3CE" w14:textId="77777777" w:rsidR="00777614" w:rsidRPr="00C444C7" w:rsidRDefault="00777614" w:rsidP="00777614">
      <w:pPr>
        <w:jc w:val="both"/>
        <w:rPr>
          <w:rFonts w:ascii="Arial" w:hAnsi="Arial" w:cs="Arial"/>
        </w:rPr>
      </w:pPr>
    </w:p>
    <w:p w14:paraId="39AA52DD" w14:textId="7DAB1B84" w:rsidR="002C57FD" w:rsidRPr="00777614" w:rsidRDefault="002C57FD" w:rsidP="002C57FD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</w:rPr>
      </w:pPr>
      <w:r w:rsidRPr="00777614">
        <w:rPr>
          <w:rFonts w:ascii="Arial" w:hAnsi="Arial" w:cs="Arial"/>
          <w:b/>
          <w:bCs/>
        </w:rPr>
        <w:lastRenderedPageBreak/>
        <w:t>Ramy czasowe i zasady rozliczeń finansowych</w:t>
      </w:r>
      <w:r w:rsidRPr="00777614">
        <w:rPr>
          <w:rFonts w:ascii="Arial" w:hAnsi="Arial" w:cs="Arial"/>
          <w:b/>
          <w:bCs/>
        </w:rPr>
        <w:tab/>
      </w:r>
    </w:p>
    <w:p w14:paraId="723AFEE7" w14:textId="5951B232" w:rsidR="00CC48A1" w:rsidRPr="00777614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>Termin wykonania</w:t>
      </w:r>
    </w:p>
    <w:p w14:paraId="4693E3CD" w14:textId="5F5AC83B" w:rsidR="00CC48A1" w:rsidRPr="00C444C7" w:rsidRDefault="00CC48A1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Wykonawca zobowiązany jest zrealizować całe zadanie inwestycyjne (od projektu do uruchomienia) w terminie 4 miesięcy od daty podpisania umowy.</w:t>
      </w:r>
    </w:p>
    <w:p w14:paraId="48D125B6" w14:textId="6D764D5F" w:rsidR="00CC48A1" w:rsidRPr="00777614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>Forma wynagrodzenia</w:t>
      </w:r>
    </w:p>
    <w:p w14:paraId="375505D2" w14:textId="730EF01D" w:rsidR="00CC48A1" w:rsidRPr="00C444C7" w:rsidRDefault="00CC48A1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 xml:space="preserve">Wynagrodzenie za realizację umowy ma charakter ryczałtowy i stanowi wartość ostateczną, która nie podlega żadnym zmianom ani waloryzacji w trakcie trwania umowy. </w:t>
      </w:r>
    </w:p>
    <w:p w14:paraId="71E946F9" w14:textId="45A9AFC9" w:rsidR="00CC48A1" w:rsidRPr="00777614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>Odbiór i płatność</w:t>
      </w:r>
    </w:p>
    <w:p w14:paraId="638BAE27" w14:textId="2EE46D32" w:rsidR="00CC48A1" w:rsidRPr="00C444C7" w:rsidRDefault="00CC48A1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Rozliczenie finansowe nastąpi jednorazowo na podstawie bezusterkowego Protokołu Odbioru Końcowego podpisanego przez Zamawiającego i Inspektora Nadzoru. Faktura zostanie zapłacona przelewem na rachunek bankowy Wykonawcy w terminie 30 dni od jej otrzymania.</w:t>
      </w:r>
    </w:p>
    <w:p w14:paraId="3F73239D" w14:textId="36255CCA" w:rsidR="00CC48A1" w:rsidRPr="00777614" w:rsidRDefault="00CC48A1" w:rsidP="00CC48A1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</w:rPr>
      </w:pPr>
      <w:r w:rsidRPr="00777614">
        <w:rPr>
          <w:rFonts w:ascii="Arial" w:hAnsi="Arial" w:cs="Arial"/>
          <w:b/>
          <w:bCs/>
        </w:rPr>
        <w:t>Gwarancja i serwis gwarancyjny</w:t>
      </w:r>
    </w:p>
    <w:p w14:paraId="19CF1B95" w14:textId="2BBF708A" w:rsidR="00CC48A1" w:rsidRPr="00777614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>Okres gwarancji</w:t>
      </w:r>
    </w:p>
    <w:p w14:paraId="2E0A6CE8" w14:textId="665462D2" w:rsidR="00CC48A1" w:rsidRPr="00C444C7" w:rsidRDefault="00CC48A1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Wykonawca udziela pełnej gwarancji na wykonany przedmiot zamówienia na okres minimum 24 miesięcy (lub 1000 godzin pracy urządzenia, w zależności co nastąpi pierwsze) od dnia podpisania końcowego protokołu odbioru</w:t>
      </w:r>
    </w:p>
    <w:p w14:paraId="5148BBC8" w14:textId="2B05D2B8" w:rsidR="00CC48A1" w:rsidRPr="00777614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>Serwis i przeglądy</w:t>
      </w:r>
    </w:p>
    <w:p w14:paraId="3818C4AA" w14:textId="06CDDF03" w:rsidR="00CC48A1" w:rsidRPr="00C444C7" w:rsidRDefault="00CC48A1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W okresie gwarancyjnym Wykonawca zobowiązany jest do wykonywania bezpłatnych przeglądów serwisowych zgodnie z harmonogramem i wymaganiami producenta silnika / prądnicy, bez dodatkowego wezwania ze strony Zamawiającego. Każdy przegląd musu być zakończony sporządzeniem protokołu.</w:t>
      </w:r>
    </w:p>
    <w:p w14:paraId="7AEF43B0" w14:textId="2538CFA4" w:rsidR="00042B2A" w:rsidRPr="00777614" w:rsidRDefault="00042B2A" w:rsidP="00042B2A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>Zgłoszenie awarii</w:t>
      </w:r>
    </w:p>
    <w:p w14:paraId="1E545CF2" w14:textId="65C7423A" w:rsidR="00042B2A" w:rsidRPr="00C444C7" w:rsidRDefault="00042B2A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Wykonawca ma obowiązek pisemnego potwierdzenia przyjęcia zgłoszenia awarii w ciągu 1 dnia roboczego oraz usunięcie zaistniałej usterki lub awarii w czasie nieprzekraczającym 7 dni kalendarzowych od daty zgłoszenia.</w:t>
      </w:r>
    </w:p>
    <w:p w14:paraId="6AA84DEA" w14:textId="1C9BBF95" w:rsidR="00042B2A" w:rsidRPr="00777614" w:rsidRDefault="00042B2A" w:rsidP="00042B2A">
      <w:pPr>
        <w:pStyle w:val="Akapitzlist"/>
        <w:numPr>
          <w:ilvl w:val="1"/>
          <w:numId w:val="2"/>
        </w:numPr>
        <w:rPr>
          <w:rFonts w:ascii="Arial" w:hAnsi="Arial" w:cs="Arial"/>
          <w:u w:val="single"/>
        </w:rPr>
      </w:pPr>
      <w:r w:rsidRPr="00777614">
        <w:rPr>
          <w:rFonts w:ascii="Arial" w:hAnsi="Arial" w:cs="Arial"/>
          <w:u w:val="single"/>
        </w:rPr>
        <w:t xml:space="preserve">Rękojmia </w:t>
      </w:r>
    </w:p>
    <w:p w14:paraId="1D2DCE3E" w14:textId="5CCD33E3" w:rsidR="00042B2A" w:rsidRPr="00C444C7" w:rsidRDefault="00042B2A" w:rsidP="00777614">
      <w:pPr>
        <w:jc w:val="both"/>
        <w:rPr>
          <w:rFonts w:ascii="Arial" w:hAnsi="Arial" w:cs="Arial"/>
        </w:rPr>
      </w:pPr>
      <w:r w:rsidRPr="00C444C7">
        <w:rPr>
          <w:rFonts w:ascii="Arial" w:hAnsi="Arial" w:cs="Arial"/>
        </w:rPr>
        <w:t>Niezależnie od gwarancji, Wykonawca ponosi pełną odpowiedzialność za wady fizyczne i prawne przedmiotu zamówienia z tytułu rękojmi na zasadach określonych w Kodeksie cywilnym.</w:t>
      </w:r>
    </w:p>
    <w:p w14:paraId="5ABCFD27" w14:textId="77777777" w:rsidR="00042B2A" w:rsidRPr="00C444C7" w:rsidRDefault="00042B2A" w:rsidP="00777614">
      <w:pPr>
        <w:pBdr>
          <w:bottom w:val="single" w:sz="4" w:space="1" w:color="auto"/>
        </w:pBdr>
        <w:rPr>
          <w:rFonts w:ascii="Arial" w:hAnsi="Arial" w:cs="Arial"/>
        </w:rPr>
      </w:pPr>
    </w:p>
    <w:p w14:paraId="3E7B1864" w14:textId="1E7B5E02" w:rsidR="00042B2A" w:rsidRPr="00C444C7" w:rsidRDefault="00042B2A" w:rsidP="00042B2A">
      <w:pPr>
        <w:rPr>
          <w:rFonts w:ascii="Arial" w:hAnsi="Arial" w:cs="Arial"/>
        </w:rPr>
      </w:pPr>
      <w:r w:rsidRPr="00C444C7">
        <w:rPr>
          <w:rFonts w:ascii="Arial" w:hAnsi="Arial" w:cs="Arial"/>
        </w:rPr>
        <w:t xml:space="preserve">Opracował: </w:t>
      </w:r>
      <w:r w:rsidRPr="00C444C7">
        <w:rPr>
          <w:rFonts w:ascii="Arial" w:hAnsi="Arial" w:cs="Arial"/>
        </w:rPr>
        <w:tab/>
        <w:t>Michał Michalewicz, St. Spec. ds. technicznych</w:t>
      </w:r>
    </w:p>
    <w:p w14:paraId="0BC93792" w14:textId="697DE9B3" w:rsidR="00042B2A" w:rsidRPr="00777614" w:rsidRDefault="00042B2A" w:rsidP="00042B2A">
      <w:pPr>
        <w:jc w:val="center"/>
        <w:rPr>
          <w:rFonts w:ascii="Arial" w:hAnsi="Arial" w:cs="Arial"/>
          <w:i/>
          <w:iCs/>
        </w:rPr>
      </w:pPr>
      <w:r w:rsidRPr="00777614">
        <w:rPr>
          <w:rFonts w:ascii="Arial" w:hAnsi="Arial" w:cs="Arial"/>
          <w:i/>
          <w:iCs/>
        </w:rPr>
        <w:t>Lipiec 2026r.</w:t>
      </w:r>
    </w:p>
    <w:p w14:paraId="383A7913" w14:textId="77777777" w:rsidR="00CC48A1" w:rsidRPr="00C444C7" w:rsidRDefault="00CC48A1" w:rsidP="00CC48A1">
      <w:pPr>
        <w:rPr>
          <w:rFonts w:ascii="Arial" w:hAnsi="Arial" w:cs="Arial"/>
        </w:rPr>
      </w:pPr>
    </w:p>
    <w:sectPr w:rsidR="00CC48A1" w:rsidRPr="00C444C7"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699869" w14:textId="77777777" w:rsidR="005319D8" w:rsidRDefault="005319D8" w:rsidP="000A14F9">
      <w:pPr>
        <w:spacing w:after="0" w:line="240" w:lineRule="auto"/>
      </w:pPr>
      <w:r>
        <w:separator/>
      </w:r>
    </w:p>
  </w:endnote>
  <w:endnote w:type="continuationSeparator" w:id="0">
    <w:p w14:paraId="386375CB" w14:textId="77777777" w:rsidR="005319D8" w:rsidRDefault="005319D8" w:rsidP="000A14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udiowide">
    <w:panose1 w:val="02000503000000020004"/>
    <w:charset w:val="EE"/>
    <w:family w:val="auto"/>
    <w:pitch w:val="variable"/>
    <w:sig w:usb0="A000006F" w:usb1="4000004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E2464C" w14:textId="16A263FD" w:rsidR="000A14F9" w:rsidRPr="000A14F9" w:rsidRDefault="000A14F9" w:rsidP="000A14F9">
    <w:pPr>
      <w:pStyle w:val="Stopka"/>
      <w:jc w:val="right"/>
      <w:rPr>
        <w:rFonts w:ascii="Audiowide" w:hAnsi="Audiowide"/>
        <w:sz w:val="12"/>
        <w:szCs w:val="12"/>
      </w:rPr>
    </w:pPr>
    <w:r w:rsidRPr="000A14F9">
      <w:rPr>
        <w:rFonts w:ascii="Audiowide" w:eastAsiaTheme="majorEastAsia" w:hAnsi="Audiowide" w:cstheme="majorBidi"/>
        <w:sz w:val="12"/>
        <w:szCs w:val="12"/>
      </w:rPr>
      <w:t xml:space="preserve">str. </w:t>
    </w:r>
    <w:r w:rsidRPr="000A14F9">
      <w:rPr>
        <w:rFonts w:ascii="Audiowide" w:eastAsiaTheme="minorEastAsia" w:hAnsi="Audiowide"/>
        <w:sz w:val="12"/>
        <w:szCs w:val="12"/>
      </w:rPr>
      <w:fldChar w:fldCharType="begin"/>
    </w:r>
    <w:r w:rsidRPr="000A14F9">
      <w:rPr>
        <w:rFonts w:ascii="Audiowide" w:hAnsi="Audiowide"/>
        <w:sz w:val="12"/>
        <w:szCs w:val="12"/>
      </w:rPr>
      <w:instrText>PAGE    \* MERGEFORMAT</w:instrText>
    </w:r>
    <w:r w:rsidRPr="000A14F9">
      <w:rPr>
        <w:rFonts w:ascii="Audiowide" w:eastAsiaTheme="minorEastAsia" w:hAnsi="Audiowide"/>
        <w:sz w:val="12"/>
        <w:szCs w:val="12"/>
      </w:rPr>
      <w:fldChar w:fldCharType="separate"/>
    </w:r>
    <w:r w:rsidRPr="000A14F9">
      <w:rPr>
        <w:rFonts w:ascii="Audiowide" w:eastAsiaTheme="majorEastAsia" w:hAnsi="Audiowide" w:cstheme="majorBidi"/>
        <w:sz w:val="12"/>
        <w:szCs w:val="12"/>
      </w:rPr>
      <w:t>1</w:t>
    </w:r>
    <w:r w:rsidRPr="000A14F9">
      <w:rPr>
        <w:rFonts w:ascii="Audiowide" w:eastAsiaTheme="majorEastAsia" w:hAnsi="Audiowide" w:cstheme="majorBidi"/>
        <w:sz w:val="12"/>
        <w:szCs w:val="12"/>
      </w:rPr>
      <w:fldChar w:fldCharType="end"/>
    </w:r>
    <w:r w:rsidRPr="000A14F9">
      <w:rPr>
        <w:rFonts w:ascii="Audiowide" w:eastAsiaTheme="majorEastAsia" w:hAnsi="Audiowide" w:cstheme="majorBidi"/>
        <w:sz w:val="12"/>
        <w:szCs w:val="12"/>
      </w:rPr>
      <w:t xml:space="preserve"> z 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CA6926" w14:textId="77777777" w:rsidR="005319D8" w:rsidRDefault="005319D8" w:rsidP="000A14F9">
      <w:pPr>
        <w:spacing w:after="0" w:line="240" w:lineRule="auto"/>
      </w:pPr>
      <w:r>
        <w:separator/>
      </w:r>
    </w:p>
  </w:footnote>
  <w:footnote w:type="continuationSeparator" w:id="0">
    <w:p w14:paraId="58464F03" w14:textId="77777777" w:rsidR="005319D8" w:rsidRDefault="005319D8" w:rsidP="000A14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C91B74"/>
    <w:multiLevelType w:val="hybridMultilevel"/>
    <w:tmpl w:val="17E4DB24"/>
    <w:lvl w:ilvl="0" w:tplc="A44EE28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241BA3"/>
    <w:multiLevelType w:val="hybridMultilevel"/>
    <w:tmpl w:val="69545C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8226E7"/>
    <w:multiLevelType w:val="hybridMultilevel"/>
    <w:tmpl w:val="0DC8F590"/>
    <w:lvl w:ilvl="0" w:tplc="E2741F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5542741"/>
    <w:multiLevelType w:val="multilevel"/>
    <w:tmpl w:val="691821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540367263">
    <w:abstractNumId w:val="2"/>
  </w:num>
  <w:num w:numId="2" w16cid:durableId="1639147952">
    <w:abstractNumId w:val="3"/>
  </w:num>
  <w:num w:numId="3" w16cid:durableId="607353182">
    <w:abstractNumId w:val="0"/>
  </w:num>
  <w:num w:numId="4" w16cid:durableId="19046407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70BC"/>
    <w:rsid w:val="00042B2A"/>
    <w:rsid w:val="00072247"/>
    <w:rsid w:val="000A14F9"/>
    <w:rsid w:val="002C57FD"/>
    <w:rsid w:val="00494354"/>
    <w:rsid w:val="005319D8"/>
    <w:rsid w:val="00777614"/>
    <w:rsid w:val="00845054"/>
    <w:rsid w:val="0090325B"/>
    <w:rsid w:val="009C13B8"/>
    <w:rsid w:val="00A34D9E"/>
    <w:rsid w:val="00A43511"/>
    <w:rsid w:val="00AC56F2"/>
    <w:rsid w:val="00B37D00"/>
    <w:rsid w:val="00B570BC"/>
    <w:rsid w:val="00C043DB"/>
    <w:rsid w:val="00C444C7"/>
    <w:rsid w:val="00CC4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3380A2"/>
  <w15:chartTrackingRefBased/>
  <w15:docId w15:val="{E2002087-523C-44E4-97F1-9D343E3FB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570B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570B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570B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570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570B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570B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570B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570B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570B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570B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570B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570B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570B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570B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570B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570B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570B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570B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570B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570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570B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570B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570B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570B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570B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570B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570B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570B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570BC"/>
    <w:rPr>
      <w:b/>
      <w:bCs/>
      <w:smallCaps/>
      <w:color w:val="0F4761" w:themeColor="accent1" w:themeShade="BF"/>
      <w:spacing w:val="5"/>
    </w:rPr>
  </w:style>
  <w:style w:type="table" w:styleId="Tabela-Siatka">
    <w:name w:val="Table Grid"/>
    <w:basedOn w:val="Standardowy"/>
    <w:uiPriority w:val="39"/>
    <w:rsid w:val="00AC56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0A14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A14F9"/>
  </w:style>
  <w:style w:type="paragraph" w:styleId="Stopka">
    <w:name w:val="footer"/>
    <w:basedOn w:val="Normalny"/>
    <w:link w:val="StopkaZnak"/>
    <w:uiPriority w:val="99"/>
    <w:unhideWhenUsed/>
    <w:rsid w:val="000A14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A14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9</Pages>
  <Words>1237</Words>
  <Characters>9199</Characters>
  <Application>Microsoft Office Word</Application>
  <DocSecurity>0</DocSecurity>
  <Lines>187</Lines>
  <Paragraphs>90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Michalewicz</dc:creator>
  <cp:keywords/>
  <dc:description/>
  <cp:lastModifiedBy>Michał Michalewicz</cp:lastModifiedBy>
  <cp:revision>11</cp:revision>
  <dcterms:created xsi:type="dcterms:W3CDTF">2026-07-15T08:27:00Z</dcterms:created>
  <dcterms:modified xsi:type="dcterms:W3CDTF">2026-07-16T07:52:00Z</dcterms:modified>
</cp:coreProperties>
</file>